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Ирины Алексеевны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ФКУ </w:t>
      </w:r>
      <w:r>
        <w:rPr>
          <w:rFonts w:ascii="Times New Roman" w:eastAsia="Times New Roman" w:hAnsi="Times New Roman" w:cs="Times New Roman"/>
          <w:sz w:val="26"/>
          <w:szCs w:val="26"/>
        </w:rPr>
        <w:t>ИК-11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УФСИН России по ХМАО –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szCs w:val="26"/>
        </w:rPr>
        <w:t>досмотре личных вещей которой были обнаружены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предмет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дрожжи САФ-Момент хлебопекарные сухие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запрещенны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исправительного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Медведева И.А.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 Суд рассмотрел дело в отсутствие на основании ч.2 ст.25.1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обоснование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Медведевой И.А.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представлены следующие документы: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личного досмотра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изъятия предметов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признательное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Медведевой И.А.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Медведевой И.А. </w:t>
      </w:r>
      <w:r>
        <w:rPr>
          <w:rFonts w:ascii="Times New Roman" w:eastAsia="Times New Roman" w:hAnsi="Times New Roman" w:cs="Times New Roman"/>
          <w:sz w:val="26"/>
          <w:szCs w:val="26"/>
        </w:rPr>
        <w:t>о предоставлении длительного свидания и другие материалы.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ценивая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Минюста РФ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205 "Об утверждении Правил внутреннего распорядка исправительных учреждений" - средства связи и комплектующие к ним, обеспечивающие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зажигалки, наряду со взрывчатыми, отравляющими, пожароопасными и радиоактивными веществами </w:t>
      </w:r>
      <w:r>
        <w:rPr>
          <w:rFonts w:ascii="Times New Roman" w:eastAsia="Times New Roman" w:hAnsi="Times New Roman" w:cs="Times New Roman"/>
          <w:sz w:val="26"/>
          <w:szCs w:val="26"/>
        </w:rPr>
        <w:t>входят в перечень вещей и предметов, которые осужденным запрещается иметь при себе, получать в посылках, передачах, бандеролях либо приобретать.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Медведевой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Медведевой И.А.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(в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, действовавшей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попытку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передачи любым способом лицам, содержащимся в учреждениях уголовно-исполнительной системы, следственных изоляторах или изоляторах временного содержания и иных 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стах содержания под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стражей, предметов, веществ или продуктов питания, приобретение, хранение или использование которых запрещено законом.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</w:rPr>
        <w:t>,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Медведеву Ирину Алексеевну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Style w:val="cat-Sumgrp-16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конфискацией </w:t>
      </w:r>
      <w:r>
        <w:rPr>
          <w:rFonts w:ascii="Times New Roman" w:eastAsia="Times New Roman" w:hAnsi="Times New Roman" w:cs="Times New Roman"/>
          <w:sz w:val="26"/>
          <w:szCs w:val="26"/>
        </w:rPr>
        <w:t>предметов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протоколу </w:t>
      </w:r>
      <w:r>
        <w:rPr>
          <w:rFonts w:ascii="Times New Roman" w:eastAsia="Times New Roman" w:hAnsi="Times New Roman" w:cs="Times New Roman"/>
          <w:sz w:val="26"/>
          <w:szCs w:val="26"/>
        </w:rPr>
        <w:t>изъятия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</w:t>
      </w:r>
      <w:r>
        <w:rPr>
          <w:rFonts w:ascii="Times New Roman" w:eastAsia="Times New Roman" w:hAnsi="Times New Roman" w:cs="Times New Roman"/>
        </w:rPr>
        <w:t xml:space="preserve">гры ______________________ </w:t>
      </w:r>
      <w:r>
        <w:rPr>
          <w:rFonts w:ascii="Times New Roman" w:eastAsia="Times New Roman" w:hAnsi="Times New Roman" w:cs="Times New Roman"/>
        </w:rPr>
        <w:t>М.Б. Бордунов</w:t>
      </w:r>
    </w:p>
    <w:p>
      <w:pPr>
        <w:spacing w:before="0" w:after="0"/>
        <w:jc w:val="both"/>
      </w:pPr>
      <w:r>
        <w:rPr>
          <w:rStyle w:val="cat-Dategrp-10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Т.И. Слесарева</w:t>
      </w: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 следующим реквизитам:: получатель - УФК по Ханты-Мансийскому автономному округу-Югре (Аппарат Губернатора Ханты-Мансийского автономного округа-Югры л/с 04872D01540), Банк: РКЦ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КБК 69011601193010012140, </w:t>
      </w:r>
      <w:r>
        <w:rPr>
          <w:rFonts w:ascii="Times New Roman" w:eastAsia="Times New Roman" w:hAnsi="Times New Roman" w:cs="Times New Roman"/>
          <w:sz w:val="18"/>
          <w:szCs w:val="18"/>
        </w:rPr>
        <w:t>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0412365400665001572419137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PhoneNumbergrp-23rplc-40">
    <w:name w:val="cat-PhoneNumber grp-23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17rplc-44">
    <w:name w:val="cat-SumInWords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